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82" w:rsidRPr="00B16882" w:rsidRDefault="00B16882" w:rsidP="00B16882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16882">
        <w:rPr>
          <w:rFonts w:ascii="Times New Roman" w:hAnsi="Times New Roman" w:cs="Times New Roman"/>
          <w:szCs w:val="24"/>
        </w:rPr>
        <w:t xml:space="preserve">Rozdział pierwszy </w:t>
      </w:r>
    </w:p>
    <w:p w:rsidR="00B16882" w:rsidRPr="00B16882" w:rsidRDefault="00B16882" w:rsidP="00B1688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B16882">
        <w:rPr>
          <w:rFonts w:ascii="Times New Roman" w:hAnsi="Times New Roman" w:cs="Times New Roman"/>
          <w:szCs w:val="24"/>
        </w:rPr>
        <w:t>Treść oświadczenia banku Udzielającego gwarancji reguluje natomiast §</w:t>
      </w:r>
      <w:r>
        <w:rPr>
          <w:rFonts w:ascii="Times New Roman" w:hAnsi="Times New Roman" w:cs="Times New Roman"/>
          <w:szCs w:val="24"/>
        </w:rPr>
        <w:t xml:space="preserve"> </w:t>
      </w:r>
      <w:r w:rsidRPr="00B16882">
        <w:rPr>
          <w:rFonts w:ascii="Times New Roman" w:hAnsi="Times New Roman" w:cs="Times New Roman"/>
          <w:szCs w:val="24"/>
        </w:rPr>
        <w:t xml:space="preserve">3 ust. 1 i 2 </w:t>
      </w:r>
      <w:proofErr w:type="spellStart"/>
      <w:r w:rsidRPr="00B16882">
        <w:rPr>
          <w:rFonts w:ascii="Times New Roman" w:hAnsi="Times New Roman" w:cs="Times New Roman"/>
          <w:szCs w:val="24"/>
        </w:rPr>
        <w:t>zarządzefnia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nr 4/98 Komisji nadzoru Bankowego z 30 czerwca 1998 r. Z przepisu tego wynika, że oświadczenie banku powinno wskazywać walutę, w której będzie wykonywane będzie wykonywane zobowiązanie banku, przesłanki („warunki”) żądania zapłaty przez beneficjenta,  dokumenty  potwierdzające spełnienie przesłanek oraz postanowienie o poddaniu gwarancji jednolitym regułom stosowanym w obrocie międzynarodowym.</w:t>
      </w:r>
    </w:p>
    <w:p w:rsidR="00B16882" w:rsidRPr="00B16882" w:rsidRDefault="00B16882" w:rsidP="00B16882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16882">
        <w:rPr>
          <w:rFonts w:ascii="Times New Roman" w:hAnsi="Times New Roman" w:cs="Times New Roman"/>
          <w:szCs w:val="24"/>
        </w:rPr>
        <w:t>Ponadto bank może zastrzec w swoim oświadczeniu, że przelew wierzytelności z gwarancji bankowej dopuszczalny będzie tylko wraz z przeniesienie m wierzytelności gwarancji z którego upływem powinien nastąpić zwrot dokument zabezpieczonej gwarancją oraz określić termin obowiązywania gwarancyjnego wystawionego przez bank (</w:t>
      </w:r>
      <w:proofErr w:type="spellStart"/>
      <w:r w:rsidRPr="00B16882">
        <w:rPr>
          <w:rFonts w:ascii="Times New Roman" w:hAnsi="Times New Roman" w:cs="Times New Roman"/>
          <w:szCs w:val="24"/>
        </w:rPr>
        <w:t>verba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6882">
        <w:rPr>
          <w:rFonts w:ascii="Times New Roman" w:hAnsi="Times New Roman" w:cs="Times New Roman"/>
          <w:szCs w:val="24"/>
        </w:rPr>
        <w:t>legis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„zwrot gwarancji dla banku”)</w:t>
      </w:r>
    </w:p>
    <w:p w:rsidR="00B16882" w:rsidRDefault="00B16882" w:rsidP="00B16882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73573A" w:rsidRPr="00B16882" w:rsidRDefault="00B16882" w:rsidP="00B16882">
      <w:pPr>
        <w:spacing w:after="0"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B16882">
        <w:rPr>
          <w:rFonts w:ascii="Times New Roman" w:hAnsi="Times New Roman" w:cs="Times New Roman"/>
          <w:szCs w:val="24"/>
        </w:rPr>
        <w:t xml:space="preserve">Chociaż zarządzenie wyraźnie nie wspomina o tym, jednak z § </w:t>
      </w:r>
      <w:r>
        <w:rPr>
          <w:rFonts w:ascii="Times New Roman" w:hAnsi="Times New Roman" w:cs="Times New Roman"/>
          <w:szCs w:val="24"/>
        </w:rPr>
        <w:t xml:space="preserve">ust. </w:t>
      </w:r>
      <w:r w:rsidRPr="00B16882">
        <w:rPr>
          <w:rFonts w:ascii="Times New Roman" w:hAnsi="Times New Roman" w:cs="Times New Roman"/>
          <w:szCs w:val="24"/>
        </w:rPr>
        <w:t xml:space="preserve">1 </w:t>
      </w:r>
      <w:proofErr w:type="spellStart"/>
      <w:r w:rsidRPr="00B16882">
        <w:rPr>
          <w:rFonts w:ascii="Times New Roman" w:hAnsi="Times New Roman" w:cs="Times New Roman"/>
          <w:szCs w:val="24"/>
        </w:rPr>
        <w:t>pkt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3wynika pośrednio1, że bank w swoim oświadczeniu winien wskazać rodzaj zdarzenia, które ma </w:t>
      </w:r>
      <w:proofErr w:type="spellStart"/>
      <w:r w:rsidRPr="00B16882">
        <w:rPr>
          <w:rFonts w:ascii="Times New Roman" w:hAnsi="Times New Roman" w:cs="Times New Roman"/>
          <w:szCs w:val="24"/>
        </w:rPr>
        <w:t>zabe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16882">
        <w:rPr>
          <w:rFonts w:ascii="Times New Roman" w:hAnsi="Times New Roman" w:cs="Times New Roman"/>
          <w:szCs w:val="24"/>
        </w:rPr>
        <w:t>zpieczać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gwarancja (a więc cel udzielonego zabezpieczenia). Ponadto oświadczenie musi zawierać </w:t>
      </w:r>
      <w:r>
        <w:rPr>
          <w:rFonts w:ascii="Times New Roman" w:hAnsi="Times New Roman" w:cs="Times New Roman"/>
          <w:szCs w:val="24"/>
        </w:rPr>
        <w:br/>
      </w:r>
      <w:r w:rsidRPr="00B16882">
        <w:rPr>
          <w:rFonts w:ascii="Times New Roman" w:hAnsi="Times New Roman" w:cs="Times New Roman"/>
          <w:szCs w:val="24"/>
        </w:rPr>
        <w:t xml:space="preserve">kwotę (a nie tylko walutę), do której bank zaciąga zobowiązanie wobec beneficjenta gwarancji. Wynika to </w:t>
      </w:r>
      <w:proofErr w:type="spellStart"/>
      <w:r w:rsidRPr="00B16882">
        <w:rPr>
          <w:rFonts w:ascii="Times New Roman" w:hAnsi="Times New Roman" w:cs="Times New Roman"/>
          <w:szCs w:val="24"/>
        </w:rPr>
        <w:t>popierwsze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z charakteru zobowiązania banku, które nie polega na naprawieniu szkody, a więc bez określenia wysokości zobowiązania </w:t>
      </w:r>
      <w:proofErr w:type="spellStart"/>
      <w:r w:rsidRPr="00B16882">
        <w:rPr>
          <w:rFonts w:ascii="Times New Roman" w:hAnsi="Times New Roman" w:cs="Times New Roman"/>
          <w:szCs w:val="24"/>
        </w:rPr>
        <w:t>niebyłoby</w:t>
      </w:r>
      <w:proofErr w:type="spellEnd"/>
      <w:r w:rsidRPr="00B16882">
        <w:rPr>
          <w:rFonts w:ascii="Times New Roman" w:hAnsi="Times New Roman" w:cs="Times New Roman"/>
          <w:szCs w:val="24"/>
        </w:rPr>
        <w:t xml:space="preserve"> widome, do czego zobowiązał się bank; po drugie, ze względu na przepisy dotyczące koncentracji kredytowej (art. 71 pr. bank.).</w:t>
      </w:r>
    </w:p>
    <w:sectPr w:rsidR="0073573A" w:rsidRPr="00B16882" w:rsidSect="00B16882">
      <w:pgSz w:w="11906" w:h="16838"/>
      <w:pgMar w:top="1418" w:right="3402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6882"/>
    <w:rsid w:val="00141588"/>
    <w:rsid w:val="0073573A"/>
    <w:rsid w:val="00776987"/>
    <w:rsid w:val="00B16882"/>
    <w:rsid w:val="00F37DCD"/>
    <w:rsid w:val="00F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Company>Ministrerstwo Edukacji Narodowej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Goldberg</dc:creator>
  <cp:lastModifiedBy>Użytkownik systemu Windows</cp:lastModifiedBy>
  <cp:revision>2</cp:revision>
  <dcterms:created xsi:type="dcterms:W3CDTF">2017-11-02T10:58:00Z</dcterms:created>
  <dcterms:modified xsi:type="dcterms:W3CDTF">2017-11-02T10:58:00Z</dcterms:modified>
</cp:coreProperties>
</file>